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b/>
          <w:color w:val="E36C0A"/>
          <w:spacing w:val="0"/>
          <w:position w:val="0"/>
          <w:sz w:val="20"/>
          <w:shd w:fill="auto" w:val="clear"/>
        </w:rPr>
      </w:pPr>
      <w:r>
        <w:rPr>
          <w:rFonts w:ascii="Times New Roman" w:hAnsi="Times New Roman" w:cs="Times New Roman" w:eastAsia="Times New Roman"/>
          <w:b/>
          <w:color w:val="E36C0A"/>
          <w:spacing w:val="0"/>
          <w:position w:val="0"/>
          <w:sz w:val="20"/>
          <w:shd w:fill="auto" w:val="clear"/>
        </w:rPr>
        <w:t xml:space="preserve">PRESENTAZIONE RICORSO</w:t>
      </w:r>
    </w:p>
    <w:p>
      <w:pPr>
        <w:spacing w:before="0" w:after="0" w:line="240"/>
        <w:ind w:right="0" w:left="0" w:firstLine="0"/>
        <w:jc w:val="center"/>
        <w:rPr>
          <w:rFonts w:ascii="Times New Roman" w:hAnsi="Times New Roman" w:cs="Times New Roman" w:eastAsia="Times New Roman"/>
          <w:b/>
          <w:color w:val="E36C0A"/>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 la presente vogliamo illustrarLe una azione giurisdizionale avverso la Sua esclusione dalla prima prova.</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L’azione legale è diretta ad impugnare l’esito delle prove preselettive e a denunciare tutte le irregolarità che ne hanno caratterizzato lo svolgimento.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 i ricorsi che ora proponiamo sarà finalmente possibile richiedere un decreto d’urgenza o una sospensiva per ottenere l’accesso con riserva alla prova successiva, in ogni caso senza precludere la richiesta di annullamento del concorso.</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E36C0A"/>
          <w:spacing w:val="0"/>
          <w:position w:val="0"/>
          <w:sz w:val="20"/>
          <w:shd w:fill="auto" w:val="clear"/>
        </w:rPr>
        <w:t xml:space="preserve">1. A CHI E' FORTEMENTE CONSIGLIATA L’AZIONE LEGALE</w:t>
      </w:r>
      <w:r>
        <w:rPr>
          <w:rFonts w:ascii="Calibri" w:hAnsi="Calibri" w:cs="Calibri" w:eastAsia="Calibri"/>
          <w:color w:val="auto"/>
          <w:spacing w:val="0"/>
          <w:position w:val="0"/>
          <w:sz w:val="22"/>
          <w:shd w:fill="auto" w:val="clear"/>
        </w:rPr>
        <w:t xml:space="preserve">:</w:t>
      </w:r>
      <w:r>
        <w:rPr>
          <w:rFonts w:ascii="Times New Roman" w:hAnsi="Times New Roman" w:cs="Times New Roman" w:eastAsia="Times New Roman"/>
          <w:b/>
          <w:color w:val="auto"/>
          <w:spacing w:val="0"/>
          <w:position w:val="0"/>
          <w:sz w:val="20"/>
          <w:shd w:fill="auto" w:val="clear"/>
        </w:rPr>
        <w:br/>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L'azione individuale è anzitutto consigliata a chi per pochi punti non ha ottenuto il punteggio minimo da raggiungere.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Tuttavia riteniamo di consigliare l'azione anche a tutti coloro che hanno semplicemente partecipato alla prova e non hanno oltrepassato i test</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Irregolarità come quelle verificatesi non si sono infatti mai avute</w:t>
      </w:r>
      <w:r>
        <w:rPr>
          <w:rFonts w:ascii="Times New Roman" w:hAnsi="Times New Roman" w:cs="Times New Roman" w:eastAsia="Times New Roman"/>
          <w:color w:val="auto"/>
          <w:spacing w:val="0"/>
          <w:position w:val="0"/>
          <w:sz w:val="20"/>
          <w:shd w:fill="auto" w:val="clear"/>
        </w:rPr>
        <w:t xml:space="preserve"> (il massimo di domande errate in tanti e tanti anni di ricorsi avverso il numero chiuso è stato nel 2007 di 2 su 80, e nel 2011 di cinque sempre su 80 domande). Visti i risultati su procedure analoghe a numero chiuso sulle quali da anni siamo in prima linea siamo abbastanza sereni circa la fondatezza dell'azione.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La materia del test e del numero chiuso è stata da noi seguita sin dall'origine ragion per cui possiamo contare su uno studio approfondito dei numerosissimi vizi che, a nostro modo di vedere, caratterizzano questo percorso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br/>
      </w:r>
      <w:r>
        <w:rPr>
          <w:rFonts w:ascii="Times New Roman" w:hAnsi="Times New Roman" w:cs="Times New Roman" w:eastAsia="Times New Roman"/>
          <w:b/>
          <w:color w:val="E36C0A"/>
          <w:spacing w:val="0"/>
          <w:position w:val="0"/>
          <w:sz w:val="20"/>
          <w:shd w:fill="auto" w:val="clear"/>
        </w:rPr>
        <w:t xml:space="preserve">2. CHE TIPO DI RICORSI EFFETTUIAMO</w:t>
      </w:r>
      <w:r>
        <w:rPr>
          <w:rFonts w:ascii="Calibri" w:hAnsi="Calibri" w:cs="Calibri" w:eastAsia="Calibri"/>
          <w:color w:val="auto"/>
          <w:spacing w:val="0"/>
          <w:position w:val="0"/>
          <w:sz w:val="22"/>
          <w:shd w:fill="auto" w:val="clear"/>
        </w:rPr>
        <w:t xml:space="preserve">:</w:t>
      </w:r>
      <w:r>
        <w:rPr>
          <w:rFonts w:ascii="Times New Roman" w:hAnsi="Times New Roman" w:cs="Times New Roman" w:eastAsia="Times New Roman"/>
          <w:b/>
          <w:color w:val="auto"/>
          <w:spacing w:val="0"/>
          <w:position w:val="0"/>
          <w:sz w:val="20"/>
          <w:shd w:fill="auto" w:val="clear"/>
        </w:rPr>
        <w:br/>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numPr>
          <w:ilvl w:val="0"/>
          <w:numId w:val="9"/>
        </w:numPr>
        <w:spacing w:before="0" w:after="0" w:line="240"/>
        <w:ind w:right="0" w:left="108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 </w:t>
      </w:r>
      <w:r>
        <w:rPr>
          <w:rFonts w:ascii="Times New Roman" w:hAnsi="Times New Roman" w:cs="Times New Roman" w:eastAsia="Times New Roman"/>
          <w:b/>
          <w:color w:val="auto"/>
          <w:spacing w:val="0"/>
          <w:position w:val="0"/>
          <w:sz w:val="20"/>
          <w:shd w:fill="auto" w:val="clear"/>
        </w:rPr>
        <w:t xml:space="preserve">ricorsi individuali (consigliati a soggetti con punteggi alti), personalizzati</w:t>
      </w:r>
      <w:r>
        <w:rPr>
          <w:rFonts w:ascii="Times New Roman" w:hAnsi="Times New Roman" w:cs="Times New Roman" w:eastAsia="Times New Roman"/>
          <w:color w:val="auto"/>
          <w:spacing w:val="0"/>
          <w:position w:val="0"/>
          <w:sz w:val="20"/>
          <w:shd w:fill="auto" w:val="clear"/>
        </w:rPr>
        <w:t xml:space="preserve"> sulla Vostra posizione (dalle domande errate o meno del test in poi), sono quelli che di certo offrono maggiori garanzie, anche in merito alla possibilità di ottenere un decreto d’urgenza o una sospensiva e quindi l’accesso con riserva. Sono fortemente consigliati ai soggetti con </w:t>
      </w:r>
      <w:r>
        <w:rPr>
          <w:rFonts w:ascii="Times New Roman" w:hAnsi="Times New Roman" w:cs="Times New Roman" w:eastAsia="Times New Roman"/>
          <w:b/>
          <w:color w:val="auto"/>
          <w:spacing w:val="0"/>
          <w:position w:val="0"/>
          <w:sz w:val="20"/>
          <w:shd w:fill="auto" w:val="clear"/>
        </w:rPr>
        <w:t xml:space="preserve">punteggi medio alti</w:t>
      </w:r>
      <w:r>
        <w:rPr>
          <w:rFonts w:ascii="Times New Roman" w:hAnsi="Times New Roman" w:cs="Times New Roman" w:eastAsia="Times New Roman"/>
          <w:color w:val="auto"/>
          <w:spacing w:val="0"/>
          <w:position w:val="0"/>
          <w:sz w:val="20"/>
          <w:shd w:fill="auto" w:val="clear"/>
        </w:rPr>
        <w:t xml:space="preserve"> e vicini al superamento della soglia. In questi casi non vi sono problemi di inammissibilità tra le posizioni dei ricorrenti e il ricorso viene personalizzato e calibrato sulle Vostre specifiche situazioni. Il problema è difatti non incappare in una giurisprudenza che sostiene l'inammissibilità del ricorso nel caso di posizioni non identiche tra loro. Nel ricorso individuale si chiede anche l’ammissione con decreto alla seconda prova; difatti la assenza dello svolgimento della seconda prova potrebbe essere eccepita e lamentata dalla controparte.</w:t>
      </w:r>
    </w:p>
    <w:p>
      <w:pPr>
        <w:numPr>
          <w:ilvl w:val="0"/>
          <w:numId w:val="9"/>
        </w:numPr>
        <w:spacing w:before="0" w:after="0" w:line="240"/>
        <w:ind w:right="0" w:left="108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 </w:t>
      </w:r>
      <w:r>
        <w:rPr>
          <w:rFonts w:ascii="Times New Roman" w:hAnsi="Times New Roman" w:cs="Times New Roman" w:eastAsia="Times New Roman"/>
          <w:b/>
          <w:color w:val="auto"/>
          <w:spacing w:val="0"/>
          <w:position w:val="0"/>
          <w:sz w:val="20"/>
          <w:shd w:fill="auto" w:val="clear"/>
        </w:rPr>
        <w:t xml:space="preserve">ricorsi semi-collettivi, ossia con qualche persona (consigliabile a persone con punteggi medi)</w:t>
      </w:r>
      <w:r>
        <w:rPr>
          <w:rFonts w:ascii="Times New Roman" w:hAnsi="Times New Roman" w:cs="Times New Roman" w:eastAsia="Times New Roman"/>
          <w:color w:val="auto"/>
          <w:spacing w:val="0"/>
          <w:position w:val="0"/>
          <w:sz w:val="20"/>
          <w:shd w:fill="auto" w:val="clear"/>
        </w:rPr>
        <w:t xml:space="preserve">, ove cercheremo di radunare posizioni non in conflitto tra loro. Tali ricorsi sono per due, tre posizioni circa fino ad un massimo di sei, anche se normalmente si attestano sull’accorpamento di due posizioni. Anche in tale ricorso si richiede la sospensiva e il decreto cautelare come per i ricorsi individuali, ma non si garantisce di riuscire ad ottenere la pronuncia favorevole in tempo per farvi partecipare alla prova scritta. Su tale tipologia di ricorso, visti i tempi ristretti della fase d’urgenza, tale ricorso è consigliabile solo quando la prova scritta non è immediata e non si assicura che tale piccolo gruppo verrà formato. A causa di una serie di difficoltà nel radunare tali posizioni si richiede un immediato pagamento, con la rassicurazione da parte nostra, che qualora il gruppo non sarà formato si procederà, a scelta del ricorrente, o alla restituzione completa della somma o allo spostamento di quanto versato su un ricorso individuale. </w:t>
      </w:r>
    </w:p>
    <w:p>
      <w:pPr>
        <w:numPr>
          <w:ilvl w:val="0"/>
          <w:numId w:val="9"/>
        </w:numPr>
        <w:spacing w:before="0" w:after="0" w:line="240"/>
        <w:ind w:right="0" w:left="108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Per tutti coloro che per una questione di costi non potranno aderire al ricorso individuale o semi-collettivo, organizziamo </w:t>
      </w:r>
      <w:r>
        <w:rPr>
          <w:rFonts w:ascii="Times New Roman" w:hAnsi="Times New Roman" w:cs="Times New Roman" w:eastAsia="Times New Roman"/>
          <w:b/>
          <w:color w:val="auto"/>
          <w:spacing w:val="0"/>
          <w:position w:val="0"/>
          <w:sz w:val="20"/>
          <w:shd w:fill="auto" w:val="clear"/>
        </w:rPr>
        <w:t xml:space="preserve">ricorsi avverso le irregolarità</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i/>
          <w:color w:val="auto"/>
          <w:spacing w:val="0"/>
          <w:position w:val="0"/>
          <w:sz w:val="20"/>
          <w:shd w:fill="auto" w:val="clear"/>
        </w:rPr>
        <w:t xml:space="preserve">domande sbagliate e annullate, posti liberi, fuga di notizie, brogli di vario tipo etc.</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di natura collettiva. Il ricorso collettivo necessariamente si svolgerà in tempi tecnici più lunghi</w:t>
      </w:r>
      <w:r>
        <w:rPr>
          <w:rFonts w:ascii="Times New Roman" w:hAnsi="Times New Roman" w:cs="Times New Roman" w:eastAsia="Times New Roman"/>
          <w:color w:val="auto"/>
          <w:spacing w:val="0"/>
          <w:position w:val="0"/>
          <w:sz w:val="20"/>
          <w:shd w:fill="auto" w:val="clear"/>
        </w:rPr>
        <w:t xml:space="preserve"> e potrebbe non esservi la possibilità di accedere con riserva (c.d. sospensiva). </w:t>
      </w:r>
    </w:p>
    <w:p>
      <w:pPr>
        <w:spacing w:before="0" w:after="0" w:line="240"/>
        <w:ind w:right="0" w:left="72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E36C0A"/>
          <w:spacing w:val="0"/>
          <w:position w:val="0"/>
          <w:sz w:val="20"/>
          <w:shd w:fill="auto" w:val="clear"/>
        </w:rPr>
      </w:pPr>
      <w:r>
        <w:rPr>
          <w:rFonts w:ascii="Times New Roman" w:hAnsi="Times New Roman" w:cs="Times New Roman" w:eastAsia="Times New Roman"/>
          <w:b/>
          <w:color w:val="E36C0A"/>
          <w:spacing w:val="0"/>
          <w:position w:val="0"/>
          <w:sz w:val="20"/>
          <w:shd w:fill="auto" w:val="clear"/>
        </w:rPr>
        <w:t xml:space="preserve">3. CHE COSA CHIEDIAMO?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Chiediamo l’ammissione alla seconda prova per tutti coloro che non hanno passato il test. Nel ricorso collettivo si richiede l’annullamento della prova, da tale richiesta in virtù di una giurisprudenza da noi formata sulla questione si può arrivare a conseguire l’accesso anche soprannumerario e nella fase cautelare si può sperare in un accesso con riserva. </w:t>
      </w:r>
    </w:p>
    <w:p>
      <w:pPr>
        <w:spacing w:before="0" w:after="0" w:line="240"/>
        <w:ind w:right="0" w:left="0" w:firstLine="0"/>
        <w:jc w:val="left"/>
        <w:rPr>
          <w:rFonts w:ascii="Times New Roman" w:hAnsi="Times New Roman" w:cs="Times New Roman" w:eastAsia="Times New Roman"/>
          <w:color w:val="E36C0A"/>
          <w:spacing w:val="0"/>
          <w:position w:val="0"/>
          <w:sz w:val="20"/>
          <w:shd w:fill="auto" w:val="clear"/>
        </w:rPr>
      </w:pPr>
      <w:r>
        <w:rPr>
          <w:rFonts w:ascii="Times New Roman" w:hAnsi="Times New Roman" w:cs="Times New Roman" w:eastAsia="Times New Roman"/>
          <w:color w:val="E36C0A"/>
          <w:spacing w:val="0"/>
          <w:position w:val="0"/>
          <w:sz w:val="20"/>
          <w:shd w:fill="auto" w:val="clear"/>
        </w:rPr>
        <w:t xml:space="preserve"> </w:t>
      </w:r>
    </w:p>
    <w:p>
      <w:pPr>
        <w:numPr>
          <w:ilvl w:val="0"/>
          <w:numId w:val="13"/>
        </w:numPr>
        <w:spacing w:before="0" w:after="0" w:line="240"/>
        <w:ind w:right="0" w:left="1080" w:hanging="36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E36C0A"/>
          <w:spacing w:val="0"/>
          <w:position w:val="0"/>
          <w:sz w:val="20"/>
          <w:shd w:fill="auto" w:val="clear"/>
        </w:rPr>
        <w:t xml:space="preserve">COSTO RICORSO E MODALITA’ DI VERSAMENTO</w:t>
      </w:r>
      <w:r>
        <w:rPr>
          <w:rFonts w:ascii="Times New Roman" w:hAnsi="Times New Roman" w:cs="Times New Roman" w:eastAsia="Times New Roman"/>
          <w:color w:val="auto"/>
          <w:spacing w:val="0"/>
          <w:position w:val="0"/>
          <w:sz w:val="20"/>
          <w:shd w:fill="auto" w:val="clear"/>
        </w:rPr>
        <w:t xml:space="preserve">:</w:t>
        <w:br/>
      </w:r>
    </w:p>
    <w:p>
      <w:pPr>
        <w:spacing w:before="0" w:after="0" w:line="240"/>
        <w:ind w:right="0" w:left="0" w:firstLine="0"/>
        <w:jc w:val="both"/>
        <w:rPr>
          <w:rFonts w:ascii="Times New Roman" w:hAnsi="Times New Roman" w:cs="Times New Roman" w:eastAsia="Times New Roman"/>
          <w:strike w:val="true"/>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Il costo del ricorso varia in base al numero dei partecipanti da un minimo di 500,00 €, ad un massimo di 3.500,00 € (comprensivi di I.v.a. al 21 %, C.p.a. 4 %, contributo unificato, notifiche, bolli etc.)</w:t>
      </w:r>
      <w:r>
        <w:rPr>
          <w:rFonts w:ascii="Times New Roman" w:hAnsi="Times New Roman" w:cs="Times New Roman" w:eastAsia="Times New Roman"/>
          <w:color w:val="auto"/>
          <w:spacing w:val="0"/>
          <w:position w:val="0"/>
          <w:sz w:val="20"/>
          <w:shd w:fill="auto" w:val="clear"/>
        </w:rPr>
        <w:t xml:space="preserve"> per i ricorsi proposti individualmente.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Costo del ricorso individuale.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costo di un ricorso individuale è di euro 3.500,00. Va versato un acconto di euro 2.500,00 (le spese giudiziali sono tutte all’inizio). La rimanente somma va versata prima della c.d. udienza per la sospensiva. Diversi accordi andranno specificatamente concordati con gli Avvocati. Il prezzo comprende lo svolgimento di tutto il giudizio (ricorso, notificazione, fascicoli, bolli, marche, contributo unificato – una tassazione imposta dallo stato per ogni causa di diritto amministrativo - udienze, accessi agli atti, memorie, appuntamenti etc. e una consulenza gratuita da parte dei nostri studi anche su altre tematiche). Non comprende invece il secondo grado (eventuale e che non si dovrebbe verificare) e non comprende i c.d. motivi aggiunti (ovvero un nuovo ricorso per nuovi ed eventuali atti che il Miur dovesse emanare).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Costo del ricorso semi collettivo (normalmente due, tre posizioni).</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costo del ricorso “semicollettivo” è di euro 2.0000,00, vanno versati subito euro 1500,00 e poi altri euro 500,00 prima dell’udienza per la sospensiva. Nel ricorso semi collettivo si mantiene sempre un profilo personalizzato del ricorso, con le contestazioni delle domande a cui il candidato ha risposto in un determinato modo etc.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ricorso semi collettivo come predetto non è semplice da realizzarsi. Si chiede pertanto la immediata corresponsione delle somme assicurandoVi che qualora non si aggiungeranno altre persone gli importi saranno integralmente restituiti a meno che il candidato non opti per un ricorso individuale e le stesse saranno trattenute in acconto.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prezzo comprende sempre lo svolgimento di tutto il giudizio (ricorso, notificazione, fascicoli, bolli, marche, contributo unificato – una tassazione imposta dallo stato per ogni causa di diritto amministrativo - udienze, accessi agli atti, memorie, appuntamenti etc. e una consulenza gratuita da parte dei nostri studi anche su altre tematiche). Non comprende invece il secondo grado (eventuale e che non si dovrebbe verificare) e non comprende i c.d. motivi aggiunti (ovvero un nuovo ricorso per nuovi ed eventuali atti che il Ministero dovesse emanare).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Costo del ricorso collettivo.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costo del ricorso collettivo è di euro 500,00 omnicomprensivi. Il prezzo va versato in un’unica soluzione sempre alle seguenti coordinate intestate ad Avv. Michele Bonetti. Il numero minimo di persone da raggiungere è di 10 persone diversamente non si formerà il gruppo.</w:t>
      </w:r>
    </w:p>
    <w:tbl>
      <w:tblPr/>
      <w:tblGrid>
        <w:gridCol w:w="2218"/>
        <w:gridCol w:w="5149"/>
      </w:tblGrid>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IBAN (elettronico)</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IT82J0305103224000021030354</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IBAN (su carta)</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IT82 J030 5103 2240 0002 1030 354</w:t>
            </w:r>
          </w:p>
        </w:tc>
      </w:tr>
    </w:tbl>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 il versamento il ricorrente ha la sicurezza di essere nei nostri ricorsi collettivi e di aver comunque impugnato nei termini di legge gli atti amministrativi anche nel caso di una successiva sanatoria. Qualora il candidato decidesse poi di optare per un ricorso semicollettivo o individuale le dette somme verranno scalate.</w:t>
      </w:r>
    </w:p>
    <w:p>
      <w:pPr>
        <w:spacing w:before="0" w:after="0" w:line="240"/>
        <w:ind w:right="0" w:left="0" w:firstLine="0"/>
        <w:jc w:val="left"/>
        <w:rPr>
          <w:rFonts w:ascii="Times New Roman" w:hAnsi="Times New Roman" w:cs="Times New Roman" w:eastAsia="Times New Roman"/>
          <w:b/>
          <w:color w:val="E36C0A"/>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E36C0A"/>
          <w:spacing w:val="0"/>
          <w:position w:val="0"/>
          <w:sz w:val="20"/>
          <w:shd w:fill="auto" w:val="clear"/>
        </w:rPr>
        <w:t xml:space="preserve">MODULISTICA DA COMPILARE E ACCESSO AGLI ATTI. ISTRUZIONI IDENTICHE PER TUTTE LE TIPOLOGIE DI RICORRENTI.</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Al fine di avere un quadro quanto più possibile completo delle censure da svolgere in ricorso, anche in ragione delle numerosissime segnalazioni di irregolarità già pervenute presso i nostri studi, è indispensabile proporre, immediatamente, istanza di accesso agli atti al fine di ottenere copia della documentazione di concorso. Trattasi di incombente indispensabile (di cui ce ne occuperemo noi) per agire tanto al fine di ottenere l'allargamento delle graduatorie e quanto l'ammissione con riserva.</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Le inviamo, pertanto, la scheda anagrafica e le procure da compilare e da restituire (scansionate o via fax e poi in originale per posta raccomandata a.r. veloce), così da fornirci tutti i dati necessari per provvedere a tali incombenti. Una volta che la Sua anagrafica e le procure ci saranno pervenute provvederemo a inoltrare l'istanza d'accesso.</w:t>
        <w:br/>
        <w:t xml:space="preserve">Dopo aver compilato e sottoscritto le due procure (una per l'accesso e una per agire innanzi al TAR), deve procedere con l'invio delle stesse (in 3 copie per ciascuna) a mezzo posta raccomandata a.r. veloce con scritto sulla busta RICORSO INDIVIDUALE oppure a seconda del ricorso RICORSO SEMICOLLETTIVO, o RICORSO COLLETTIVO a</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Avv. Michele Bonetti via San Tommaso D'Aquino 47 Roma 00136</w:t>
      </w:r>
      <w:r>
        <w:rPr>
          <w:rFonts w:ascii="Times New Roman" w:hAnsi="Times New Roman" w:cs="Times New Roman" w:eastAsia="Times New Roman"/>
          <w:color w:val="auto"/>
          <w:spacing w:val="0"/>
          <w:position w:val="0"/>
          <w:sz w:val="20"/>
          <w:shd w:fill="auto" w:val="clear"/>
        </w:rPr>
        <w:t xml:space="preserve">.</w:t>
      </w:r>
    </w:p>
    <w:p>
      <w:pPr>
        <w:spacing w:before="0" w:after="200" w:line="276"/>
        <w:ind w:right="0" w:left="0" w:firstLine="0"/>
        <w:jc w:val="center"/>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RICAPITOLANDO E SINTETIZZANDO:</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QUALORA DECIDERA' DI ADERIRE DOVRA' COMPILARE TUTTI E TRE I DOCUMENTI ALLEGATI E ANTICIPARLI A MEZZO E MAIL A </w:t>
      </w:r>
      <w:hyperlink xmlns:r="http://schemas.openxmlformats.org/officeDocument/2006/relationships" r:id="docRId0">
        <w:r>
          <w:rPr>
            <w:rFonts w:ascii="Times New Roman" w:hAnsi="Times New Roman" w:cs="Times New Roman" w:eastAsia="Times New Roman"/>
            <w:color w:val="0000FF"/>
            <w:spacing w:val="0"/>
            <w:position w:val="0"/>
            <w:sz w:val="20"/>
            <w:u w:val="single"/>
            <w:shd w:fill="auto" w:val="clear"/>
          </w:rPr>
          <w:t xml:space="preserve">info@avvocatomichelebonetti.it</w:t>
        </w:r>
      </w:hyperlink>
      <w:r>
        <w:rPr>
          <w:rFonts w:ascii="Times New Roman" w:hAnsi="Times New Roman" w:cs="Times New Roman" w:eastAsia="Times New Roman"/>
          <w:color w:val="auto"/>
          <w:spacing w:val="0"/>
          <w:position w:val="0"/>
          <w:sz w:val="20"/>
          <w:shd w:fill="auto" w:val="clear"/>
        </w:rPr>
        <w:t xml:space="preserve"> o fax </w:t>
      </w:r>
      <w:hyperlink xmlns:r="http://schemas.openxmlformats.org/officeDocument/2006/relationships" r:id="docRId1">
        <w:r>
          <w:rPr>
            <w:rFonts w:ascii="Times New Roman" w:hAnsi="Times New Roman" w:cs="Times New Roman" w:eastAsia="Times New Roman"/>
            <w:color w:val="0000FF"/>
            <w:spacing w:val="0"/>
            <w:position w:val="0"/>
            <w:sz w:val="20"/>
            <w:u w:val="single"/>
            <w:shd w:fill="auto" w:val="clear"/>
          </w:rPr>
          <w:t xml:space="preserve">0664564197</w:t>
        </w:r>
      </w:hyperlink>
      <w:r>
        <w:rPr>
          <w:rFonts w:ascii="Times New Roman" w:hAnsi="Times New Roman" w:cs="Times New Roman" w:eastAsia="Times New Roman"/>
          <w:color w:val="auto"/>
          <w:spacing w:val="0"/>
          <w:position w:val="0"/>
          <w:sz w:val="20"/>
          <w:shd w:fill="auto" w:val="clear"/>
        </w:rPr>
        <w:t xml:space="preserve"> E INOLTRARLI POI </w:t>
      </w:r>
      <w:r>
        <w:rPr>
          <w:rFonts w:ascii="Times New Roman" w:hAnsi="Times New Roman" w:cs="Times New Roman" w:eastAsia="Times New Roman"/>
          <w:b/>
          <w:color w:val="auto"/>
          <w:spacing w:val="0"/>
          <w:position w:val="0"/>
          <w:sz w:val="20"/>
          <w:shd w:fill="auto" w:val="clear"/>
        </w:rPr>
        <w:t xml:space="preserve">SOTTOSCRITTI IN ORIGINALE</w:t>
      </w:r>
      <w:r>
        <w:rPr>
          <w:rFonts w:ascii="Times New Roman" w:hAnsi="Times New Roman" w:cs="Times New Roman" w:eastAsia="Times New Roman"/>
          <w:color w:val="auto"/>
          <w:spacing w:val="0"/>
          <w:position w:val="0"/>
          <w:sz w:val="20"/>
          <w:shd w:fill="auto" w:val="clear"/>
        </w:rPr>
        <w:t xml:space="preserve"> A MEZZO POSTA RACCOMANDATA VELOCE (o altro mezzo di posta celere e sicuro) UNITAMENTE AD UNA COPIA DEL BONIFICO EFFETTUATO.</w:t>
        <w:br/>
        <w:t xml:space="preserve">Mi raccomando sulla busta dovrete scrivere RICORSO INDIVIDUALE ESTERI, o RICORSO SEMICOLLETTIVO ESTERI o RICORSO COLLETTIVO ESTERI a seconda del ricorso scelto e concordato con i Legali</w:t>
      </w:r>
    </w:p>
    <w:p>
      <w:pPr>
        <w:spacing w:before="0" w:after="200" w:line="276"/>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Il conto corrente ove effettuare il pagamento dei ricorsi individuali è il seguente:</w:t>
      </w:r>
    </w:p>
    <w:tbl>
      <w:tblPr/>
      <w:tblGrid>
        <w:gridCol w:w="2218"/>
        <w:gridCol w:w="5149"/>
      </w:tblGrid>
      <w:tr>
        <w:trPr>
          <w:trHeight w:val="1" w:hRule="atLeast"/>
          <w:jc w:val="center"/>
        </w:trPr>
        <w:tc>
          <w:tcPr>
            <w:tcW w:w="7367" w:type="dxa"/>
            <w:gridSpan w:val="2"/>
            <w:tcBorders>
              <w:top w:val="single" w:color="000000" w:sz="0"/>
              <w:left w:val="single" w:color="000000" w:sz="0"/>
              <w:bottom w:val="single" w:color="000000" w:sz="0"/>
              <w:right w:val="single" w:color="000000" w:sz="0"/>
            </w:tcBorders>
            <w:shd w:color="000000" w:fill="ffffff" w:val="clear"/>
            <w:tcMar>
              <w:left w:w="14" w:type="dxa"/>
              <w:right w:w="14"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Coordinate Bancarie</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Banca</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BARCLAYS BANK PL</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Filiale</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FILIALE 24 – ROMA</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VIA PAOLO VERONESE 45/55 ANGOLO VIA DEL</w:t>
              <w:br/>
              <w:t xml:space="preserve"> 00147 ROMA RM</w:t>
            </w:r>
          </w:p>
        </w:tc>
      </w:tr>
      <w:tr>
        <w:trPr>
          <w:trHeight w:val="1" w:hRule="atLeast"/>
          <w:jc w:val="center"/>
        </w:trPr>
        <w:tc>
          <w:tcPr>
            <w:tcW w:w="7367" w:type="dxa"/>
            <w:gridSpan w:val="2"/>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Coordinate Bancarie nazionali ed internazionali del rapporto selezionato:</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Intestazione</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Bonetti Michele</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ABI</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03051</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CAB</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03224</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Conto Corrente</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0"/>
                  <w:u w:val="single"/>
                  <w:shd w:fill="auto" w:val="clear"/>
                </w:rPr>
                <w:t xml:space="preserve">000021030354</w:t>
              </w:r>
            </w:hyperlink>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CIN ABI</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J</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BBAN</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spacing w:val="0"/>
                <w:position w:val="0"/>
                <w:shd w:fill="auto" w:val="clear"/>
              </w:rPr>
            </w:pPr>
            <w:r>
              <w:rPr>
                <w:rFonts w:ascii="Times New Roman" w:hAnsi="Times New Roman" w:cs="Times New Roman" w:eastAsia="Times New Roman"/>
                <w:color w:val="auto"/>
                <w:spacing w:val="0"/>
                <w:position w:val="0"/>
                <w:sz w:val="20"/>
                <w:shd w:fill="auto" w:val="clear"/>
              </w:rPr>
              <w:t xml:space="preserve"> J </w:t>
            </w:r>
            <w:hyperlink xmlns:r="http://schemas.openxmlformats.org/officeDocument/2006/relationships" r:id="docRId3">
              <w:r>
                <w:rPr>
                  <w:rFonts w:ascii="Times New Roman" w:hAnsi="Times New Roman" w:cs="Times New Roman" w:eastAsia="Times New Roman"/>
                  <w:color w:val="0000FF"/>
                  <w:spacing w:val="0"/>
                  <w:position w:val="0"/>
                  <w:sz w:val="20"/>
                  <w:u w:val="single"/>
                  <w:shd w:fill="auto" w:val="clear"/>
                </w:rPr>
                <w:t xml:space="preserve">03051 03224</w:t>
              </w:r>
            </w:hyperlink>
            <w:r>
              <w:rPr>
                <w:rFonts w:ascii="Times New Roman" w:hAnsi="Times New Roman" w:cs="Times New Roman" w:eastAsia="Times New Roman"/>
                <w:color w:val="auto"/>
                <w:spacing w:val="0"/>
                <w:position w:val="0"/>
                <w:sz w:val="20"/>
                <w:shd w:fill="auto" w:val="clear"/>
              </w:rPr>
              <w:t xml:space="preserve"> </w:t>
            </w:r>
            <w:hyperlink xmlns:r="http://schemas.openxmlformats.org/officeDocument/2006/relationships" r:id="docRId4">
              <w:r>
                <w:rPr>
                  <w:rFonts w:ascii="Times New Roman" w:hAnsi="Times New Roman" w:cs="Times New Roman" w:eastAsia="Times New Roman"/>
                  <w:color w:val="0000FF"/>
                  <w:spacing w:val="0"/>
                  <w:position w:val="0"/>
                  <w:sz w:val="20"/>
                  <w:u w:val="single"/>
                  <w:shd w:fill="auto" w:val="clear"/>
                </w:rPr>
                <w:t xml:space="preserve">000021030354</w:t>
              </w:r>
            </w:hyperlink>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IBAN (elettronico)</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IT82J0305103224000021030354</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IBAN (su carta)</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IT82 J030 5103 2240 0002 1030 354</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w:t>
            </w:r>
          </w:p>
        </w:tc>
      </w:tr>
      <w:tr>
        <w:trPr>
          <w:trHeight w:val="1" w:hRule="atLeast"/>
          <w:jc w:val="center"/>
        </w:trPr>
        <w:tc>
          <w:tcPr>
            <w:tcW w:w="2218"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BIC/SWIFT</w:t>
            </w:r>
          </w:p>
        </w:tc>
        <w:tc>
          <w:tcPr>
            <w:tcW w:w="5149" w:type="dxa"/>
            <w:tcBorders>
              <w:top w:val="single" w:color="000000" w:sz="0"/>
              <w:left w:val="single" w:color="000000" w:sz="0"/>
              <w:bottom w:val="single" w:color="000000" w:sz="0"/>
              <w:right w:val="single" w:color="000000" w:sz="0"/>
            </w:tcBorders>
            <w:shd w:color="000000" w:fill="ffffff" w:val="clear"/>
            <w:tcMar>
              <w:left w:w="14" w:type="dxa"/>
              <w:right w:w="14" w:type="dxa"/>
            </w:tcMar>
            <w:vAlign w:val="center"/>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 BARCITMMBKO</w:t>
            </w:r>
          </w:p>
        </w:tc>
      </w:tr>
    </w:tbl>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Attenzione sulla causale dovrete indicare la seguente dicitura: RICORSO ESTERI facendo seguire il nominativo del ricorrente (non di colui che fa il bonifico).</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Per il pagamento del ricorso collettivo (euro 500,00) andrà effettuato il bonifico sempre alle suddette coordinate.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br/>
        <w:t xml:space="preserve">Attenzione anche in tal caso sulla causale dovrete indicare la dicitura: RICORSO </w:t>
      </w:r>
      <w:r>
        <w:rPr>
          <w:rFonts w:ascii="Times New Roman" w:hAnsi="Times New Roman" w:cs="Times New Roman" w:eastAsia="Times New Roman"/>
          <w:b/>
          <w:color w:val="auto"/>
          <w:spacing w:val="0"/>
          <w:position w:val="0"/>
          <w:sz w:val="20"/>
          <w:shd w:fill="auto" w:val="clear"/>
        </w:rPr>
        <w:t xml:space="preserve">COLLETTIVO </w:t>
      </w:r>
      <w:r>
        <w:rPr>
          <w:rFonts w:ascii="Times New Roman" w:hAnsi="Times New Roman" w:cs="Times New Roman" w:eastAsia="Times New Roman"/>
          <w:color w:val="auto"/>
          <w:spacing w:val="0"/>
          <w:position w:val="0"/>
          <w:sz w:val="20"/>
          <w:shd w:fill="auto" w:val="clear"/>
        </w:rPr>
        <w:t xml:space="preserve">ESTERI facendo seguire il nominativo del ricorrente (non di colui che fa il bonifico).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Il ricorso collettivo si formerà qualora per la classe di concorso di interesse vi siano almeno 10 ricorrenti. In caso di numero inferiore di ricorrente si provvederà alla restituzione delle somme.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Con viva cordialità</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i/>
          <w:color w:val="auto"/>
          <w:spacing w:val="0"/>
          <w:position w:val="0"/>
          <w:sz w:val="20"/>
          <w:shd w:fill="auto" w:val="clear"/>
        </w:rPr>
        <w:t xml:space="preserve">Avv.ti Michele Bonetti &amp; Sheila Gargiulo</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9">
    <w:abstractNumId w:val="6"/>
  </w:num>
  <w:num w:numId="1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tel:0664564197" Id="docRId1" Type="http://schemas.openxmlformats.org/officeDocument/2006/relationships/hyperlink"/><Relationship TargetMode="External" Target="tel:03051%2003224" Id="docRId3" Type="http://schemas.openxmlformats.org/officeDocument/2006/relationships/hyperlink"/><Relationship Target="numbering.xml" Id="docRId5" Type="http://schemas.openxmlformats.org/officeDocument/2006/relationships/numbering"/><Relationship TargetMode="External" Target="mailto:info@avvocatomichelebonetti.it" Id="docRId0" Type="http://schemas.openxmlformats.org/officeDocument/2006/relationships/hyperlink"/><Relationship TargetMode="External" Target="tel:000021030354" Id="docRId2" Type="http://schemas.openxmlformats.org/officeDocument/2006/relationships/hyperlink"/><Relationship TargetMode="External" Target="tel:000021030354" Id="docRId4" Type="http://schemas.openxmlformats.org/officeDocument/2006/relationships/hyperlink"/><Relationship Target="styles.xml" Id="docRId6" Type="http://schemas.openxmlformats.org/officeDocument/2006/relationships/styles"/></Relationships>
</file>