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62C" w:rsidRPr="00FC162C" w:rsidRDefault="00507A3B" w:rsidP="00FC162C">
      <w:pPr>
        <w:spacing w:before="100" w:beforeAutospacing="1" w:after="100" w:afterAutospacing="1" w:line="240" w:lineRule="auto"/>
        <w:jc w:val="right"/>
        <w:rPr>
          <w:rFonts w:ascii="Times New Roman" w:eastAsia="Times New Roman" w:hAnsi="Times New Roman" w:cs="Times New Roman"/>
          <w:sz w:val="24"/>
          <w:szCs w:val="24"/>
          <w:lang w:eastAsia="it-IT"/>
        </w:rPr>
      </w:pPr>
      <w:r w:rsidRPr="00507A3B">
        <w:rPr>
          <w:rFonts w:ascii="Times New Roman" w:eastAsia="Times New Roman" w:hAnsi="Times New Roman" w:cs="Times New Roman"/>
          <w:sz w:val="24"/>
          <w:szCs w:val="24"/>
          <w:lang w:eastAsia="it-IT"/>
        </w:rPr>
        <w:t>N. ….</w:t>
      </w:r>
      <w:r w:rsidR="00FC162C" w:rsidRPr="00FC162C">
        <w:rPr>
          <w:rFonts w:ascii="Times New Roman" w:eastAsia="Times New Roman" w:hAnsi="Times New Roman" w:cs="Times New Roman"/>
          <w:sz w:val="24"/>
          <w:szCs w:val="24"/>
          <w:lang w:eastAsia="it-IT"/>
        </w:rPr>
        <w:t xml:space="preserve">/2012 </w:t>
      </w:r>
      <w:proofErr w:type="spellStart"/>
      <w:r w:rsidR="00FC162C" w:rsidRPr="00FC162C">
        <w:rPr>
          <w:rFonts w:ascii="Times New Roman" w:eastAsia="Times New Roman" w:hAnsi="Times New Roman" w:cs="Times New Roman"/>
          <w:sz w:val="24"/>
          <w:szCs w:val="24"/>
          <w:lang w:eastAsia="it-IT"/>
        </w:rPr>
        <w:t>REG.PROV.COLL</w:t>
      </w:r>
      <w:proofErr w:type="spellEnd"/>
      <w:r w:rsidR="00FC162C" w:rsidRPr="00FC162C">
        <w:rPr>
          <w:rFonts w:ascii="Times New Roman" w:eastAsia="Times New Roman" w:hAnsi="Times New Roman" w:cs="Times New Roman"/>
          <w:sz w:val="24"/>
          <w:szCs w:val="24"/>
          <w:lang w:eastAsia="it-IT"/>
        </w:rPr>
        <w:t>.</w:t>
      </w:r>
    </w:p>
    <w:p w:rsidR="00FC162C" w:rsidRPr="00FC162C" w:rsidRDefault="00507A3B" w:rsidP="00FC162C">
      <w:pPr>
        <w:spacing w:before="100" w:beforeAutospacing="1" w:after="100" w:afterAutospacing="1" w:line="240" w:lineRule="auto"/>
        <w:jc w:val="right"/>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N. …..</w:t>
      </w:r>
      <w:r w:rsidR="00FC162C" w:rsidRPr="00FC162C">
        <w:rPr>
          <w:rFonts w:ascii="Times New Roman" w:eastAsia="Times New Roman" w:hAnsi="Times New Roman" w:cs="Times New Roman"/>
          <w:sz w:val="24"/>
          <w:szCs w:val="24"/>
          <w:lang w:eastAsia="it-IT"/>
        </w:rPr>
        <w:t xml:space="preserve">/2010 </w:t>
      </w:r>
      <w:proofErr w:type="spellStart"/>
      <w:r w:rsidR="00FC162C" w:rsidRPr="00FC162C">
        <w:rPr>
          <w:rFonts w:ascii="Times New Roman" w:eastAsia="Times New Roman" w:hAnsi="Times New Roman" w:cs="Times New Roman"/>
          <w:sz w:val="24"/>
          <w:szCs w:val="24"/>
          <w:lang w:eastAsia="it-IT"/>
        </w:rPr>
        <w:t>REG.RIC</w:t>
      </w:r>
      <w:proofErr w:type="spellEnd"/>
      <w:r w:rsidR="00FC162C" w:rsidRPr="00FC162C">
        <w:rPr>
          <w:rFonts w:ascii="Times New Roman" w:eastAsia="Times New Roman" w:hAnsi="Times New Roman" w:cs="Times New Roman"/>
          <w:sz w:val="24"/>
          <w:szCs w:val="24"/>
          <w:lang w:eastAsia="it-IT"/>
        </w:rPr>
        <w:t>.</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Pr>
          <w:rFonts w:ascii="Times New Roman" w:eastAsia="Times New Roman" w:hAnsi="Times New Roman" w:cs="Times New Roman"/>
          <w:noProof/>
          <w:sz w:val="24"/>
          <w:szCs w:val="24"/>
          <w:lang w:eastAsia="it-IT"/>
        </w:rPr>
        <w:drawing>
          <wp:inline distT="0" distB="0" distL="0" distR="0">
            <wp:extent cx="724535" cy="828040"/>
            <wp:effectExtent l="19050" t="0" r="0" b="0"/>
            <wp:docPr id="1" name="Immagine 1" descr="http://www.giustizia-amministrativa.it/DocumentiGA/Roma/Sezione%203B/2010/201003716/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B/2010/201003716/Provvedimenti/stemma.jpg"/>
                    <pic:cNvPicPr>
                      <a:picLocks noChangeAspect="1" noChangeArrowheads="1"/>
                    </pic:cNvPicPr>
                  </pic:nvPicPr>
                  <pic:blipFill>
                    <a:blip r:embed="rId4"/>
                    <a:srcRect/>
                    <a:stretch>
                      <a:fillRect/>
                    </a:stretch>
                  </pic:blipFill>
                  <pic:spPr bwMode="auto">
                    <a:xfrm>
                      <a:off x="0" y="0"/>
                      <a:ext cx="724535" cy="828040"/>
                    </a:xfrm>
                    <a:prstGeom prst="rect">
                      <a:avLst/>
                    </a:prstGeom>
                    <a:noFill/>
                    <a:ln w="9525">
                      <a:noFill/>
                      <a:miter lim="800000"/>
                      <a:headEnd/>
                      <a:tailEnd/>
                    </a:ln>
                  </pic:spPr>
                </pic:pic>
              </a:graphicData>
            </a:graphic>
          </wp:inline>
        </w:drawing>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REPUBBLICA ITALIANA</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IN NOME DEL POPOLO ITALIANO</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Il Tribunale Amministrativo Regionale per il Lazio</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(Sezione Terza Bis)</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ha pronunciato la presente</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SENTENZA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sul ricorso numero di registro generale </w:t>
      </w:r>
      <w:r w:rsidR="00507A3B">
        <w:rPr>
          <w:rFonts w:ascii="Times New Roman" w:eastAsia="Times New Roman" w:hAnsi="Times New Roman" w:cs="Times New Roman"/>
          <w:sz w:val="24"/>
          <w:szCs w:val="24"/>
          <w:lang w:eastAsia="it-IT"/>
        </w:rPr>
        <w:t>....</w:t>
      </w:r>
      <w:r w:rsidRPr="00FC162C">
        <w:rPr>
          <w:rFonts w:ascii="Times New Roman" w:eastAsia="Times New Roman" w:hAnsi="Times New Roman" w:cs="Times New Roman"/>
          <w:sz w:val="24"/>
          <w:szCs w:val="24"/>
          <w:lang w:eastAsia="it-IT"/>
        </w:rPr>
        <w:t xml:space="preserve"> del 2010, integrato da motivi aggiunti, proposto da: </w:t>
      </w:r>
      <w:r w:rsidRPr="00FC162C">
        <w:rPr>
          <w:rFonts w:ascii="Times New Roman" w:eastAsia="Times New Roman" w:hAnsi="Times New Roman" w:cs="Times New Roman"/>
          <w:sz w:val="24"/>
          <w:szCs w:val="24"/>
          <w:lang w:eastAsia="it-IT"/>
        </w:rPr>
        <w:br/>
      </w:r>
      <w:r w:rsidR="00956340">
        <w:rPr>
          <w:rFonts w:ascii="Times New Roman" w:eastAsia="Times New Roman" w:hAnsi="Times New Roman" w:cs="Times New Roman"/>
          <w:sz w:val="24"/>
          <w:szCs w:val="24"/>
          <w:lang w:eastAsia="it-IT"/>
        </w:rPr>
        <w:t>………..</w:t>
      </w:r>
      <w:r w:rsidRPr="00FC162C">
        <w:rPr>
          <w:rFonts w:ascii="Times New Roman" w:eastAsia="Times New Roman" w:hAnsi="Times New Roman" w:cs="Times New Roman"/>
          <w:sz w:val="24"/>
          <w:szCs w:val="24"/>
          <w:lang w:eastAsia="it-IT"/>
        </w:rPr>
        <w:t xml:space="preserve">, rappresentato e difeso dagli avv. Michele </w:t>
      </w:r>
      <w:proofErr w:type="spellStart"/>
      <w:r w:rsidRPr="00FC162C">
        <w:rPr>
          <w:rFonts w:ascii="Times New Roman" w:eastAsia="Times New Roman" w:hAnsi="Times New Roman" w:cs="Times New Roman"/>
          <w:sz w:val="24"/>
          <w:szCs w:val="24"/>
          <w:lang w:eastAsia="it-IT"/>
        </w:rPr>
        <w:t>Bonetti</w:t>
      </w:r>
      <w:proofErr w:type="spellEnd"/>
      <w:r w:rsidRPr="00FC162C">
        <w:rPr>
          <w:rFonts w:ascii="Times New Roman" w:eastAsia="Times New Roman" w:hAnsi="Times New Roman" w:cs="Times New Roman"/>
          <w:sz w:val="24"/>
          <w:szCs w:val="24"/>
          <w:lang w:eastAsia="it-IT"/>
        </w:rPr>
        <w:t xml:space="preserve">, Santi Delia, con domicilio eletto presso Michele </w:t>
      </w:r>
      <w:proofErr w:type="spellStart"/>
      <w:r w:rsidRPr="00FC162C">
        <w:rPr>
          <w:rFonts w:ascii="Times New Roman" w:eastAsia="Times New Roman" w:hAnsi="Times New Roman" w:cs="Times New Roman"/>
          <w:sz w:val="24"/>
          <w:szCs w:val="24"/>
          <w:lang w:eastAsia="it-IT"/>
        </w:rPr>
        <w:t>Bonetti</w:t>
      </w:r>
      <w:proofErr w:type="spellEnd"/>
      <w:r w:rsidRPr="00FC162C">
        <w:rPr>
          <w:rFonts w:ascii="Times New Roman" w:eastAsia="Times New Roman" w:hAnsi="Times New Roman" w:cs="Times New Roman"/>
          <w:sz w:val="24"/>
          <w:szCs w:val="24"/>
          <w:lang w:eastAsia="it-IT"/>
        </w:rPr>
        <w:t xml:space="preserve"> in Roma, via </w:t>
      </w:r>
      <w:proofErr w:type="spellStart"/>
      <w:r w:rsidRPr="00FC162C">
        <w:rPr>
          <w:rFonts w:ascii="Times New Roman" w:eastAsia="Times New Roman" w:hAnsi="Times New Roman" w:cs="Times New Roman"/>
          <w:sz w:val="24"/>
          <w:szCs w:val="24"/>
          <w:lang w:eastAsia="it-IT"/>
        </w:rPr>
        <w:t>Dardanelli</w:t>
      </w:r>
      <w:proofErr w:type="spellEnd"/>
      <w:r w:rsidRPr="00FC162C">
        <w:rPr>
          <w:rFonts w:ascii="Times New Roman" w:eastAsia="Times New Roman" w:hAnsi="Times New Roman" w:cs="Times New Roman"/>
          <w:sz w:val="24"/>
          <w:szCs w:val="24"/>
          <w:lang w:eastAsia="it-IT"/>
        </w:rPr>
        <w:t xml:space="preserve">, 46; </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contro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Ministero dell'Istruzione dell'</w:t>
      </w:r>
      <w:proofErr w:type="spellStart"/>
      <w:r w:rsidRPr="00FC162C">
        <w:rPr>
          <w:rFonts w:ascii="Times New Roman" w:eastAsia="Times New Roman" w:hAnsi="Times New Roman" w:cs="Times New Roman"/>
          <w:sz w:val="24"/>
          <w:szCs w:val="24"/>
          <w:lang w:eastAsia="it-IT"/>
        </w:rPr>
        <w:t>Universita</w:t>
      </w:r>
      <w:proofErr w:type="spellEnd"/>
      <w:r w:rsidRPr="00FC162C">
        <w:rPr>
          <w:rFonts w:ascii="Times New Roman" w:eastAsia="Times New Roman" w:hAnsi="Times New Roman" w:cs="Times New Roman"/>
          <w:sz w:val="24"/>
          <w:szCs w:val="24"/>
          <w:lang w:eastAsia="it-IT"/>
        </w:rPr>
        <w:t xml:space="preserve">' e della Ricerca, </w:t>
      </w:r>
      <w:r w:rsidR="00956340">
        <w:rPr>
          <w:rFonts w:ascii="Times New Roman" w:eastAsia="Times New Roman" w:hAnsi="Times New Roman" w:cs="Times New Roman"/>
          <w:sz w:val="24"/>
          <w:szCs w:val="24"/>
          <w:lang w:eastAsia="it-IT"/>
        </w:rPr>
        <w:t>…..</w:t>
      </w:r>
      <w:proofErr w:type="spellStart"/>
      <w:r w:rsidRPr="00FC162C">
        <w:rPr>
          <w:rFonts w:ascii="Times New Roman" w:eastAsia="Times New Roman" w:hAnsi="Times New Roman" w:cs="Times New Roman"/>
          <w:sz w:val="24"/>
          <w:szCs w:val="24"/>
          <w:lang w:eastAsia="it-IT"/>
        </w:rPr>
        <w:t>Universita'</w:t>
      </w:r>
      <w:proofErr w:type="spellEnd"/>
      <w:r w:rsidRPr="00FC162C">
        <w:rPr>
          <w:rFonts w:ascii="Times New Roman" w:eastAsia="Times New Roman" w:hAnsi="Times New Roman" w:cs="Times New Roman"/>
          <w:sz w:val="24"/>
          <w:szCs w:val="24"/>
          <w:lang w:eastAsia="it-IT"/>
        </w:rPr>
        <w:t xml:space="preserve"> di </w:t>
      </w:r>
      <w:r w:rsidR="00956340">
        <w:rPr>
          <w:rFonts w:ascii="Times New Roman" w:eastAsia="Times New Roman" w:hAnsi="Times New Roman" w:cs="Times New Roman"/>
          <w:sz w:val="24"/>
          <w:szCs w:val="24"/>
          <w:lang w:eastAsia="it-IT"/>
        </w:rPr>
        <w:t>……</w:t>
      </w:r>
      <w:r w:rsidRPr="00FC162C">
        <w:rPr>
          <w:rFonts w:ascii="Times New Roman" w:eastAsia="Times New Roman" w:hAnsi="Times New Roman" w:cs="Times New Roman"/>
          <w:sz w:val="24"/>
          <w:szCs w:val="24"/>
          <w:lang w:eastAsia="it-IT"/>
        </w:rPr>
        <w:t xml:space="preserve">, rappresentati e difesi per legge dall'Avvocatura, domiciliata in Roma, via dei Portoghesi, 12; </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nei confronti di</w:t>
      </w:r>
    </w:p>
    <w:p w:rsidR="00FC162C" w:rsidRPr="00FC162C" w:rsidRDefault="00956340" w:rsidP="00FC162C">
      <w:pPr>
        <w:spacing w:before="100" w:beforeAutospacing="1" w:after="100" w:afterAutospacing="1"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w:t>
      </w:r>
      <w:r w:rsidR="00FC162C" w:rsidRPr="00FC162C">
        <w:rPr>
          <w:rFonts w:ascii="Times New Roman" w:eastAsia="Times New Roman" w:hAnsi="Times New Roman" w:cs="Times New Roman"/>
          <w:sz w:val="24"/>
          <w:szCs w:val="24"/>
          <w:lang w:eastAsia="it-IT"/>
        </w:rPr>
        <w:t xml:space="preserve">; </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per l’annullamento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a) del </w:t>
      </w:r>
      <w:proofErr w:type="spellStart"/>
      <w:r w:rsidRPr="00FC162C">
        <w:rPr>
          <w:rFonts w:ascii="Times New Roman" w:eastAsia="Times New Roman" w:hAnsi="Times New Roman" w:cs="Times New Roman"/>
          <w:sz w:val="24"/>
          <w:szCs w:val="24"/>
          <w:lang w:eastAsia="it-IT"/>
        </w:rPr>
        <w:t>D.R.</w:t>
      </w:r>
      <w:proofErr w:type="spellEnd"/>
      <w:r w:rsidRPr="00FC162C">
        <w:rPr>
          <w:rFonts w:ascii="Times New Roman" w:eastAsia="Times New Roman" w:hAnsi="Times New Roman" w:cs="Times New Roman"/>
          <w:sz w:val="24"/>
          <w:szCs w:val="24"/>
          <w:lang w:eastAsia="it-IT"/>
        </w:rPr>
        <w:t xml:space="preserve"> n. 1422 del 29 maggio 2009 e relativi allegati e della successiva ratifica del Senato Accademico del 18 giugno 2009, n. 60, con i quali, stante quanto si apprende dal bando, “sono state approvate, tra l’altro, le determinazioni assunte dalla Facoltà di Medicina e Chirurgia in merito al numero dei posti disponibili per le immatricolazioni – </w:t>
      </w:r>
      <w:proofErr w:type="spellStart"/>
      <w:r w:rsidRPr="00FC162C">
        <w:rPr>
          <w:rFonts w:ascii="Times New Roman" w:eastAsia="Times New Roman" w:hAnsi="Times New Roman" w:cs="Times New Roman"/>
          <w:sz w:val="24"/>
          <w:szCs w:val="24"/>
          <w:lang w:eastAsia="it-IT"/>
        </w:rPr>
        <w:t>a.a.</w:t>
      </w:r>
      <w:proofErr w:type="spellEnd"/>
      <w:r w:rsidRPr="00FC162C">
        <w:rPr>
          <w:rFonts w:ascii="Times New Roman" w:eastAsia="Times New Roman" w:hAnsi="Times New Roman" w:cs="Times New Roman"/>
          <w:sz w:val="24"/>
          <w:szCs w:val="24"/>
          <w:lang w:eastAsia="it-IT"/>
        </w:rPr>
        <w:t xml:space="preserve"> 2009/10 – al Corso di Laurea Magistrale in Odontoiatria e Protesi Dentaria, sulla base del potenziale formativo rilevato” indicando in n. 24 i posti disponibili per il corso di laurea di odontoiatria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b) del D.M. 3 luglio 2009, pubblicato nella G.U. 14 luglio 2009, n. 161 con il quale è stato fissato, per lo stesso anno accademico, il numero dei posti disponibili a livello nazionale, ripartendolo fra le Università, nella parte in cui limitano il numero dei posti della Università intimata, a 21 unità anche non ammettendo in sovrannumero la ricorrente;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lastRenderedPageBreak/>
        <w:t>c) del bando di ammissione al predetto concorso (</w:t>
      </w:r>
      <w:proofErr w:type="spellStart"/>
      <w:r w:rsidRPr="00FC162C">
        <w:rPr>
          <w:rFonts w:ascii="Times New Roman" w:eastAsia="Times New Roman" w:hAnsi="Times New Roman" w:cs="Times New Roman"/>
          <w:sz w:val="24"/>
          <w:szCs w:val="24"/>
          <w:lang w:eastAsia="it-IT"/>
        </w:rPr>
        <w:t>D.R.</w:t>
      </w:r>
      <w:proofErr w:type="spellEnd"/>
      <w:r w:rsidRPr="00FC162C">
        <w:rPr>
          <w:rFonts w:ascii="Times New Roman" w:eastAsia="Times New Roman" w:hAnsi="Times New Roman" w:cs="Times New Roman"/>
          <w:sz w:val="24"/>
          <w:szCs w:val="24"/>
          <w:lang w:eastAsia="it-IT"/>
        </w:rPr>
        <w:t xml:space="preserve"> n.1682) pubblicato il 3 luglio 2009, nella parte in cui, richiamandosi al D.M. 18 giugno 2009 oggetto di contestuale impugnativa, sancisce che “in caso di parità di voti, prevale la votazione dell’esame di Stato conclusivo dei corsi di studio di istruzione secondaria superiore (D.M. 18 giugno 2009 art. 6); in caso di ulteriore parità di voti, prevale, in ordine decrescente, il punteggio ottenuto dal candidato nella soluzione (rispettivamente) dei quesiti relativi agli argomenti di cultura generale e ragionamento logico, biologia, chimica, fisica e matematica: In caso di ulteriore parità, prevale il candidato più giovane anagraficamente”;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c1) del bando stesso anche ove venga interpretato nel senso di non consentire gli scorrimenti che si rendessero possibili grazie al passaggio diretto al 2° anno degli ammessi che ne facciano richiesta o nel caso di posti vacanti, trasferimenti e rinunce;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d) della graduatoria del concorso per l’ammissione al Corso di Laurea in Odontoiatria e Protesi Dentaria per l’</w:t>
      </w:r>
      <w:proofErr w:type="spellStart"/>
      <w:r w:rsidRPr="00FC162C">
        <w:rPr>
          <w:rFonts w:ascii="Times New Roman" w:eastAsia="Times New Roman" w:hAnsi="Times New Roman" w:cs="Times New Roman"/>
          <w:sz w:val="24"/>
          <w:szCs w:val="24"/>
          <w:lang w:eastAsia="it-IT"/>
        </w:rPr>
        <w:t>a.a.</w:t>
      </w:r>
      <w:proofErr w:type="spellEnd"/>
      <w:r w:rsidRPr="00FC162C">
        <w:rPr>
          <w:rFonts w:ascii="Times New Roman" w:eastAsia="Times New Roman" w:hAnsi="Times New Roman" w:cs="Times New Roman"/>
          <w:sz w:val="24"/>
          <w:szCs w:val="24"/>
          <w:lang w:eastAsia="it-IT"/>
        </w:rPr>
        <w:t xml:space="preserve"> 2009/2010, nella quale la ricorrente risulta collocata al 57° posto ad appena 6 posizioni dall’ultimo posto utile a seguito del V scorrimento (</w:t>
      </w:r>
      <w:proofErr w:type="spellStart"/>
      <w:r w:rsidRPr="00FC162C">
        <w:rPr>
          <w:rFonts w:ascii="Times New Roman" w:eastAsia="Times New Roman" w:hAnsi="Times New Roman" w:cs="Times New Roman"/>
          <w:sz w:val="24"/>
          <w:szCs w:val="24"/>
          <w:lang w:eastAsia="it-IT"/>
        </w:rPr>
        <w:t>pos</w:t>
      </w:r>
      <w:proofErr w:type="spellEnd"/>
      <w:r w:rsidRPr="00FC162C">
        <w:rPr>
          <w:rFonts w:ascii="Times New Roman" w:eastAsia="Times New Roman" w:hAnsi="Times New Roman" w:cs="Times New Roman"/>
          <w:sz w:val="24"/>
          <w:szCs w:val="24"/>
          <w:lang w:eastAsia="it-IT"/>
        </w:rPr>
        <w:t>. n. 50) e, quindi, non ammessa al corso, consultabile sul sito della Facoltà e contenente l’attribuzione del punteggio alla ricorrente il cui analitico dettaglio è visibile sul sito www.accessoprogrammato.miur.it mediante username e password in atti, e comunque riportato nel presente atto e documentato mediante la produzione allegata;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e) della prova di ammissione predisposta da tale Commissione e, in particolare, dei quesiti meglio specificati in atti e nelle perizie sempre in atti;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f) del D.M. 18 giugno 2009, con il quale sono stati stabiliti modalità e contenuti delle prove di ammissione nella parte in cui (art. 6) stabilisce che “per la valutazione delle prove di cui agli articoli 2, 3, 4 e 5 si tiene conto dei seguenti criteri: (…) b) in caso di parità di voti, prevale la votazione dell’esame di Stato conclusivo dei corsi di studio di istruzione secondaria superiore”, nonché nella parte in cui occorrer possa, per esorbitanza normativa dei provvedimenti citati per tutti i motivi in atti e per violazione della riserva di legge circa la determinazione dei criteri di valutazione delle prove de </w:t>
      </w:r>
      <w:proofErr w:type="spellStart"/>
      <w:r w:rsidRPr="00FC162C">
        <w:rPr>
          <w:rFonts w:ascii="Times New Roman" w:eastAsia="Times New Roman" w:hAnsi="Times New Roman" w:cs="Times New Roman"/>
          <w:sz w:val="24"/>
          <w:szCs w:val="24"/>
          <w:lang w:eastAsia="it-IT"/>
        </w:rPr>
        <w:t>quibus</w:t>
      </w:r>
      <w:proofErr w:type="spellEnd"/>
      <w:r w:rsidRPr="00FC162C">
        <w:rPr>
          <w:rFonts w:ascii="Times New Roman" w:eastAsia="Times New Roman" w:hAnsi="Times New Roman" w:cs="Times New Roman"/>
          <w:sz w:val="24"/>
          <w:szCs w:val="24"/>
          <w:lang w:eastAsia="it-IT"/>
        </w:rPr>
        <w:t>;</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f1) del Decreto Ministeriale, </w:t>
      </w:r>
      <w:proofErr w:type="spellStart"/>
      <w:r w:rsidRPr="00FC162C">
        <w:rPr>
          <w:rFonts w:ascii="Times New Roman" w:eastAsia="Times New Roman" w:hAnsi="Times New Roman" w:cs="Times New Roman"/>
          <w:sz w:val="24"/>
          <w:szCs w:val="24"/>
          <w:lang w:eastAsia="it-IT"/>
        </w:rPr>
        <w:t>ancorchè</w:t>
      </w:r>
      <w:proofErr w:type="spellEnd"/>
      <w:r w:rsidRPr="00FC162C">
        <w:rPr>
          <w:rFonts w:ascii="Times New Roman" w:eastAsia="Times New Roman" w:hAnsi="Times New Roman" w:cs="Times New Roman"/>
          <w:sz w:val="24"/>
          <w:szCs w:val="24"/>
          <w:lang w:eastAsia="it-IT"/>
        </w:rPr>
        <w:t xml:space="preserve"> non conosciuto, con il quale, ex art. 3 del D.M. 18 giugno 2009, è stata costituita un’apposita Commissione di esperti per la redazione di ottanta quesiti a risposta multipla della prova di ammissione al corso di laurea specialistica/magistrale in Odontoiatria e Protesi dentaria e del relativo decreto di nomina;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f2) dei verbali della predetta Commissione del 25 maggio 2009 e del 4 giugno 2009 e degli atti, </w:t>
      </w:r>
      <w:proofErr w:type="spellStart"/>
      <w:r w:rsidRPr="00FC162C">
        <w:rPr>
          <w:rFonts w:ascii="Times New Roman" w:eastAsia="Times New Roman" w:hAnsi="Times New Roman" w:cs="Times New Roman"/>
          <w:sz w:val="24"/>
          <w:szCs w:val="24"/>
          <w:lang w:eastAsia="it-IT"/>
        </w:rPr>
        <w:t>ancorchè</w:t>
      </w:r>
      <w:proofErr w:type="spellEnd"/>
      <w:r w:rsidRPr="00FC162C">
        <w:rPr>
          <w:rFonts w:ascii="Times New Roman" w:eastAsia="Times New Roman" w:hAnsi="Times New Roman" w:cs="Times New Roman"/>
          <w:sz w:val="24"/>
          <w:szCs w:val="24"/>
          <w:lang w:eastAsia="it-IT"/>
        </w:rPr>
        <w:t xml:space="preserve"> non conosciuti, con i quali la Commissione di esperti di cui al punto precedente ha individuato gli ottanta quesiti per gli aspiranti studenti in Odontoiatria e Protesi dentaria, resi per la prima volta noti ai candidati in data 4 settembre 2009, e degli atti della predetta Commissione e del MIUR con cui sono stati resi esecutivi gli stessi quesiti, nonché nella parte in cui non contengono l’attestazione della validità ex art. 2 comma 6 del D.M. 14 maggio 2009 e come meglio indicato in atti;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g) dei </w:t>
      </w:r>
      <w:proofErr w:type="spellStart"/>
      <w:r w:rsidRPr="00FC162C">
        <w:rPr>
          <w:rFonts w:ascii="Times New Roman" w:eastAsia="Times New Roman" w:hAnsi="Times New Roman" w:cs="Times New Roman"/>
          <w:sz w:val="24"/>
          <w:szCs w:val="24"/>
          <w:lang w:eastAsia="it-IT"/>
        </w:rPr>
        <w:t>D.R.</w:t>
      </w:r>
      <w:proofErr w:type="spellEnd"/>
      <w:r w:rsidRPr="00FC162C">
        <w:rPr>
          <w:rFonts w:ascii="Times New Roman" w:eastAsia="Times New Roman" w:hAnsi="Times New Roman" w:cs="Times New Roman"/>
          <w:sz w:val="24"/>
          <w:szCs w:val="24"/>
          <w:lang w:eastAsia="it-IT"/>
        </w:rPr>
        <w:t xml:space="preserve"> 18 settembre e 21 ottobre con i quali sono stati approvati la graduatoria e le prove di concorso.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e per l’annullamento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lastRenderedPageBreak/>
        <w:t>degli altri atti impugnati con i motivi aggiunti: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n) del bando di concorso in atti anche ove interpretato nel senso di non consentire la ridistribuzione dei posti a seguito dei passaggi al secondo e terzo anno, nell’ipotesi in cui tali posti non siano stati assegnati, in tutto o in parte, ai soggetti interessati;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o) del provvedimento non conosciuto con il quale, allo stato, l’Ateneo ha ritenuto di non provvedere alla scorrimento dei posti resisi vacanti a seguito di mancata iscrizione al secondo anno dei soggetti aventi diritto;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r) del </w:t>
      </w:r>
      <w:proofErr w:type="spellStart"/>
      <w:r w:rsidRPr="00FC162C">
        <w:rPr>
          <w:rFonts w:ascii="Times New Roman" w:eastAsia="Times New Roman" w:hAnsi="Times New Roman" w:cs="Times New Roman"/>
          <w:sz w:val="24"/>
          <w:szCs w:val="24"/>
          <w:lang w:eastAsia="it-IT"/>
        </w:rPr>
        <w:t>D.R.</w:t>
      </w:r>
      <w:proofErr w:type="spellEnd"/>
      <w:r w:rsidRPr="00FC162C">
        <w:rPr>
          <w:rFonts w:ascii="Times New Roman" w:eastAsia="Times New Roman" w:hAnsi="Times New Roman" w:cs="Times New Roman"/>
          <w:sz w:val="24"/>
          <w:szCs w:val="24"/>
          <w:lang w:eastAsia="it-IT"/>
        </w:rPr>
        <w:t xml:space="preserve"> 15 dicembre 2010 n. 2821 e della nota 21 dicembre 2010, </w:t>
      </w:r>
      <w:proofErr w:type="spellStart"/>
      <w:r w:rsidRPr="00FC162C">
        <w:rPr>
          <w:rFonts w:ascii="Times New Roman" w:eastAsia="Times New Roman" w:hAnsi="Times New Roman" w:cs="Times New Roman"/>
          <w:sz w:val="24"/>
          <w:szCs w:val="24"/>
          <w:lang w:eastAsia="it-IT"/>
        </w:rPr>
        <w:t>prot</w:t>
      </w:r>
      <w:proofErr w:type="spellEnd"/>
      <w:r w:rsidRPr="00FC162C">
        <w:rPr>
          <w:rFonts w:ascii="Times New Roman" w:eastAsia="Times New Roman" w:hAnsi="Times New Roman" w:cs="Times New Roman"/>
          <w:sz w:val="24"/>
          <w:szCs w:val="24"/>
          <w:lang w:eastAsia="it-IT"/>
        </w:rPr>
        <w:t>. n. 44330, con la quale di dispone l’esclusione della ricorrente dal corso di laurea in Odontoiatria e Protesi dentaria a seguito della riforma dell’ordinanza di accoglimento della domanda cautelare originariamente proposta innanzi al TAR Sicilia Catania (n. 1890/09) ad opera del CGA (n. 498/2010) nonché, quest’ultima, anche nella parte in cui nega l’accesso agli atti ivi richiesti;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e in ogni caso per l’accertamento del diritto all’immatricolazione dell’istante alla Seconda Università di Napoli corso di laurea in Odontoiatria e Protesi dentaria e del diritto di accesso agli atti richiesti con nota 13-15 dicembre 2010.</w:t>
      </w:r>
    </w:p>
    <w:p w:rsidR="00FC162C" w:rsidRPr="00FC162C" w:rsidRDefault="00FC162C" w:rsidP="00FC162C">
      <w:pPr>
        <w:spacing w:after="0" w:line="240" w:lineRule="auto"/>
        <w:rPr>
          <w:rFonts w:ascii="Times New Roman" w:eastAsia="Times New Roman" w:hAnsi="Times New Roman" w:cs="Times New Roman"/>
          <w:sz w:val="24"/>
          <w:szCs w:val="24"/>
          <w:lang w:eastAsia="it-IT"/>
        </w:rPr>
      </w:pP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Visto il ricorso con i relativi allegati;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Visto l’atto di costituzione in giudizio del MIUR e della Seconda Università di Napoli;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Visti i motivi aggiunti al ricorso introduttivo;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Viste le memorie difensive delle parti;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Visti gli atti tutti della causa;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Relatore alla pubblica udienza del 16 giugno 2011 il Cons. Paolo </w:t>
      </w:r>
      <w:proofErr w:type="spellStart"/>
      <w:r w:rsidRPr="00FC162C">
        <w:rPr>
          <w:rFonts w:ascii="Times New Roman" w:eastAsia="Times New Roman" w:hAnsi="Times New Roman" w:cs="Times New Roman"/>
          <w:sz w:val="24"/>
          <w:szCs w:val="24"/>
          <w:lang w:eastAsia="it-IT"/>
        </w:rPr>
        <w:t>Restaino</w:t>
      </w:r>
      <w:proofErr w:type="spellEnd"/>
      <w:r w:rsidRPr="00FC162C">
        <w:rPr>
          <w:rFonts w:ascii="Times New Roman" w:eastAsia="Times New Roman" w:hAnsi="Times New Roman" w:cs="Times New Roman"/>
          <w:sz w:val="24"/>
          <w:szCs w:val="24"/>
          <w:lang w:eastAsia="it-IT"/>
        </w:rPr>
        <w:t xml:space="preserve"> e uditi per le parti i difensori come specificato nel verbale di udienza;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Ritenuto e considerato in fatto e in diritto quanto segue:</w:t>
      </w:r>
    </w:p>
    <w:p w:rsidR="00FC162C" w:rsidRPr="00FC162C" w:rsidRDefault="00FC162C" w:rsidP="00FC162C">
      <w:pPr>
        <w:spacing w:after="0" w:line="240" w:lineRule="auto"/>
        <w:rPr>
          <w:rFonts w:ascii="Times New Roman" w:eastAsia="Times New Roman" w:hAnsi="Times New Roman" w:cs="Times New Roman"/>
          <w:sz w:val="24"/>
          <w:szCs w:val="24"/>
          <w:lang w:eastAsia="it-IT"/>
        </w:rPr>
      </w:pP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FATTO e DIRITTO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La ricorrente il 4/9/2009 ha sostenuto le prove a test per l’ammissione al Corso di laurea in Odontoiatria per l’</w:t>
      </w:r>
      <w:proofErr w:type="spellStart"/>
      <w:r w:rsidRPr="00FC162C">
        <w:rPr>
          <w:rFonts w:ascii="Times New Roman" w:eastAsia="Times New Roman" w:hAnsi="Times New Roman" w:cs="Times New Roman"/>
          <w:sz w:val="24"/>
          <w:szCs w:val="24"/>
          <w:lang w:eastAsia="it-IT"/>
        </w:rPr>
        <w:t>a.a.</w:t>
      </w:r>
      <w:proofErr w:type="spellEnd"/>
      <w:r w:rsidRPr="00FC162C">
        <w:rPr>
          <w:rFonts w:ascii="Times New Roman" w:eastAsia="Times New Roman" w:hAnsi="Times New Roman" w:cs="Times New Roman"/>
          <w:sz w:val="24"/>
          <w:szCs w:val="24"/>
          <w:lang w:eastAsia="it-IT"/>
        </w:rPr>
        <w:t xml:space="preserve"> 2009-2010 presso la Seconda Università di Napoli ad esito delle quali si è classificata al 57° posto della graduatoria con punti 56,50 e cioè fuori dal numero degli iscritti allo stesso corso di laurea.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Formula nell’atto di ricorso integrato da motivi aggiunti una serie di censure alcune delle quali indirizzate al procedimento di determinazione del numero dei posti messo a concorso e in </w:t>
      </w:r>
      <w:proofErr w:type="spellStart"/>
      <w:r w:rsidRPr="00FC162C">
        <w:rPr>
          <w:rFonts w:ascii="Times New Roman" w:eastAsia="Times New Roman" w:hAnsi="Times New Roman" w:cs="Times New Roman"/>
          <w:sz w:val="24"/>
          <w:szCs w:val="24"/>
          <w:lang w:eastAsia="it-IT"/>
        </w:rPr>
        <w:t>special</w:t>
      </w:r>
      <w:proofErr w:type="spellEnd"/>
      <w:r w:rsidRPr="00FC162C">
        <w:rPr>
          <w:rFonts w:ascii="Times New Roman" w:eastAsia="Times New Roman" w:hAnsi="Times New Roman" w:cs="Times New Roman"/>
          <w:sz w:val="24"/>
          <w:szCs w:val="24"/>
          <w:lang w:eastAsia="it-IT"/>
        </w:rPr>
        <w:t xml:space="preserve"> modo alle determinazioni al riguardo adottate dalla Seconda Università di Napoli; </w:t>
      </w:r>
      <w:r w:rsidRPr="00FC162C">
        <w:rPr>
          <w:rFonts w:ascii="Times New Roman" w:eastAsia="Times New Roman" w:hAnsi="Times New Roman" w:cs="Times New Roman"/>
          <w:sz w:val="24"/>
          <w:szCs w:val="24"/>
          <w:lang w:eastAsia="it-IT"/>
        </w:rPr>
        <w:lastRenderedPageBreak/>
        <w:t>altre dirette a contestare le modalità di somministrazione ai concorrenti ed il contenuto dei quiz.</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Per quanto concerne la determinazione del numero dei posti alcune delle argomentazioni su cui la ricorrente basa le sue conclusioni condurrebbero, ove fosse da ritenerle eseguibili, a considerare suscettibili di annullamento le determinazioni assunte dalla Seconda Università di Napoli in merito al numero dei posti disponibili per le immatricolazioni al corso di laurea in Odontoiatria e Protesi dentaria per il predetto anno accademico 2009/2010.</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Tale determinazione è contenuta nel Decreto </w:t>
      </w:r>
      <w:proofErr w:type="spellStart"/>
      <w:r w:rsidRPr="00FC162C">
        <w:rPr>
          <w:rFonts w:ascii="Times New Roman" w:eastAsia="Times New Roman" w:hAnsi="Times New Roman" w:cs="Times New Roman"/>
          <w:sz w:val="24"/>
          <w:szCs w:val="24"/>
          <w:lang w:eastAsia="it-IT"/>
        </w:rPr>
        <w:t>Rettoriale</w:t>
      </w:r>
      <w:proofErr w:type="spellEnd"/>
      <w:r w:rsidRPr="00FC162C">
        <w:rPr>
          <w:rFonts w:ascii="Times New Roman" w:eastAsia="Times New Roman" w:hAnsi="Times New Roman" w:cs="Times New Roman"/>
          <w:sz w:val="24"/>
          <w:szCs w:val="24"/>
          <w:lang w:eastAsia="it-IT"/>
        </w:rPr>
        <w:t xml:space="preserve"> n. 1422 del 29/5/2009 (successivamente rettificato dal Senato Accademico in data 18/6/2009 n. 60) e costituisce oggetto di espressa impugnativa del ricorso introduttivo.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Tuttavia sulla istanza di annullamento nei predetti termini e per le conseguenti ragioni svolte dal ricorso, nella progressiva sequenza delle rilevazioni e delle richieste fatte valere dalla stessa istante emerge la domanda direttamente indirizzata alle modalità ed al contenuto delle prove a quiz di cui viene contestata la validità dalla ricorrente che, in ragione del posto in cui trovasi collocata in graduatoria specifica il suo interesse all’annullamento di quei test che la medesima censura con la espressa rilevazione (esplicitata con maggiore pregnanza nei motivi aggiunti) che le sarebbe sufficiente l’attribuzione del punteggio riferito ai test contestati, ai quali asserisce di aver fornito risposta, per consentirle “de plano” la iscrizione al corso di laurea per il quale ha concorso.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Tali contestazioni della ricorrente trovansi formulate anche in domande di prelievo che vengono motivate in considerazione: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che all’esito della prova si trova a ridosso delle ultime posizioni utili;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che la illegittima collocazione in graduatoria è frutto dei presunti errori commessi nelle domande di alcuni quesiti (n. 54 ed altro);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che tali risposte sarebbero state arbitrariamente mutate dal MIUR dopo la correzione delle prove.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Per quanto concerne tale ultima rilevazione, il Collegio, benché la stessa non costituisca oggetto di specifico motivo di ricorso né di motivi allo stesso aggiuntivi ritiene di precisare quanto segue.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La eventuale successiva individuazione ad opera dell’Amministrazione della risposta ai quiz da ritenersi corretta, anche se per ipotesi diversa da quella inizialmente ritenuta, assume una valenza di carattere obbiettivo (e non già di una scelta dell’Amministrazione) in riferimento alla esattezza, sotto un profilo esclusivamente gnoseologico, del quesito e della risposta da dare allo stesso.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Inoltre, essendo stata effettuata dopo il già avvenuto svolgimento delle prove ma prima dell’</w:t>
      </w:r>
      <w:proofErr w:type="spellStart"/>
      <w:r w:rsidRPr="00FC162C">
        <w:rPr>
          <w:rFonts w:ascii="Times New Roman" w:eastAsia="Times New Roman" w:hAnsi="Times New Roman" w:cs="Times New Roman"/>
          <w:sz w:val="24"/>
          <w:szCs w:val="24"/>
          <w:lang w:eastAsia="it-IT"/>
        </w:rPr>
        <w:t>acclaramento</w:t>
      </w:r>
      <w:proofErr w:type="spellEnd"/>
      <w:r w:rsidRPr="00FC162C">
        <w:rPr>
          <w:rFonts w:ascii="Times New Roman" w:eastAsia="Times New Roman" w:hAnsi="Times New Roman" w:cs="Times New Roman"/>
          <w:sz w:val="24"/>
          <w:szCs w:val="24"/>
          <w:lang w:eastAsia="it-IT"/>
        </w:rPr>
        <w:t xml:space="preserve"> nominativo del risultato delle operazioni di correzione per ciascun concorrente, non ha in mancanza di elementi di contraria valenza alterato né la “par condicio” dei candidati che hanno risposto sulla base del loro personale bagaglio di cognizioni, né ha compromesso, in quanto non risultando tanto, le garanzie dell’anonimato che esigono che </w:t>
      </w:r>
      <w:r w:rsidRPr="00FC162C">
        <w:rPr>
          <w:rFonts w:ascii="Times New Roman" w:eastAsia="Times New Roman" w:hAnsi="Times New Roman" w:cs="Times New Roman"/>
          <w:sz w:val="24"/>
          <w:szCs w:val="24"/>
          <w:lang w:eastAsia="it-IT"/>
        </w:rPr>
        <w:lastRenderedPageBreak/>
        <w:t>criteri, parametri o canoni che presiedono alle valutazioni di tutti i partecipanti, siano stabiliti prima della conoscenza degli autori degli elaborati da valutare.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Quanto al quesito n. 54 la attuale ricorrente asserisce di aver correttamente risposto allo stesso test con l’indicare nel “sistema nervoso parasimpatico” il sistema nervoso sul quale agisce l’ “atropina” quale farmaco in grado di dilatare la pupilla etc. … .</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Ritiene invece la stessa grossolanamente errata la risposta dell’Amministrazione che ha considerato valida la incidenza sul “sistema nervoso simpatico”.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Nel caso in esame tuttavia non sembra univocamente possibile discettare nei termini di una soluzione </w:t>
      </w:r>
      <w:proofErr w:type="spellStart"/>
      <w:r w:rsidRPr="00FC162C">
        <w:rPr>
          <w:rFonts w:ascii="Times New Roman" w:eastAsia="Times New Roman" w:hAnsi="Times New Roman" w:cs="Times New Roman"/>
          <w:sz w:val="24"/>
          <w:szCs w:val="24"/>
          <w:lang w:eastAsia="it-IT"/>
        </w:rPr>
        <w:t>marchianamente</w:t>
      </w:r>
      <w:proofErr w:type="spellEnd"/>
      <w:r w:rsidRPr="00FC162C">
        <w:rPr>
          <w:rFonts w:ascii="Times New Roman" w:eastAsia="Times New Roman" w:hAnsi="Times New Roman" w:cs="Times New Roman"/>
          <w:sz w:val="24"/>
          <w:szCs w:val="24"/>
          <w:lang w:eastAsia="it-IT"/>
        </w:rPr>
        <w:t xml:space="preserve"> errata (quella attribuita dall’Amministrazione) ovvero non errata (quella fornita dalla ricorrente).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Così come proposto il quiz il candidato doveva indicare su quale componente del sistema nervoso agisce l’ “atropina”.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Non può escludersi che il fenomeno possa essere riguardato anche in termini reversibili con conseguente duplicità della risposta del solutore.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Infatti anche a ipotizza</w:t>
      </w:r>
      <w:r>
        <w:rPr>
          <w:rFonts w:ascii="Times New Roman" w:eastAsia="Times New Roman" w:hAnsi="Times New Roman" w:cs="Times New Roman"/>
          <w:sz w:val="24"/>
          <w:szCs w:val="24"/>
          <w:lang w:eastAsia="it-IT"/>
        </w:rPr>
        <w:t>r</w:t>
      </w:r>
      <w:r w:rsidRPr="00FC162C">
        <w:rPr>
          <w:rFonts w:ascii="Times New Roman" w:eastAsia="Times New Roman" w:hAnsi="Times New Roman" w:cs="Times New Roman"/>
          <w:sz w:val="24"/>
          <w:szCs w:val="24"/>
          <w:lang w:eastAsia="it-IT"/>
        </w:rPr>
        <w:t>e che l’atropina agisca sul sistema simpatico facendo sì che la pupilla si dilati, tale fenomeno è comunque possibile perché le fibre innervate dal sistema nervoso parasimpatico che sono pupillo costrittrici e innervano lo sfintere dell’iride, ne restano alterate nello loro tonicità.</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Tale constatazione anche se non consente di ritenere perfettamente dimostrata la esistenza dei marchiano e grossolano errore che la ricorrente intenderebbe rilevare; riduce comunque la questione nei diversi termini di una domanda ambigua non essendo escludibili due risposte al quiz.</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Comunque anche in tale possibile gamma di risposte, il Collegio, dopo prolungato esame della questione, ritiene da ultimo che sia da concludersi la controversia nel senso favorevole per la attuale ricorrente la quale ha risposto al quesito n. 54 come azione sul “sistema nervoso parasimpatico” </w:t>
      </w:r>
      <w:proofErr w:type="spellStart"/>
      <w:r w:rsidRPr="00FC162C">
        <w:rPr>
          <w:rFonts w:ascii="Times New Roman" w:eastAsia="Times New Roman" w:hAnsi="Times New Roman" w:cs="Times New Roman"/>
          <w:sz w:val="24"/>
          <w:szCs w:val="24"/>
          <w:lang w:eastAsia="it-IT"/>
        </w:rPr>
        <w:t>sicchè</w:t>
      </w:r>
      <w:proofErr w:type="spellEnd"/>
      <w:r w:rsidRPr="00FC162C">
        <w:rPr>
          <w:rFonts w:ascii="Times New Roman" w:eastAsia="Times New Roman" w:hAnsi="Times New Roman" w:cs="Times New Roman"/>
          <w:sz w:val="24"/>
          <w:szCs w:val="24"/>
          <w:lang w:eastAsia="it-IT"/>
        </w:rPr>
        <w:t xml:space="preserve"> alla stessa va attribuito il punteggio che le è stato invece sottratto come se avesse fornito una risposta errata.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Con l’attribuzione alla attuale istante di punti 1 per la risposta fornita più 0,25 sottrattile come risposta errata la medesima totalizzerebbe punti 56,50 (già attribuitile) più 1,25 e cioè punti 57,75 sufficienti a farla rientrare nel novero degli studenti da iscrivere al corso di laurea di cui trattasi tenuto conto dell’ultima iscritta con l’ultimo scorrimento.</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Il ricorso va pertanto nei sopraindicati limiti, negli stessi sensi e per i conseguenti effetti accolto fermo restando che tale accoglimento non incide sulle posizioni dei concorrenti che risultano già iscritti al corso di laurea di cui trattasi relativo all’ormai remoto anno accademico 2009 – 2010.</w:t>
      </w:r>
    </w:p>
    <w:p w:rsid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Quanto alle spese si ravvisano motivi giustificativi della loro compensazione tra le parti.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lastRenderedPageBreak/>
        <w:t>P.Q.M.</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Il Tribunale Amministrativo Regionale per il Lazio (Sezione Terza Bis) pronunciando sulla impugnativa e successivi motivi aggiunti la accoglie nei sensi, nei limiti e per gli effetti in motivazione indicati.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Spese compensate.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Ordina che la presente sentenza sia eseguita dalla Autorità amministrativa.</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Così deciso nella Camera di Consiglio del giorno 16 giugno 2011 e, in prosecuzione del giorno 13 ottobre 2011 e del giorno 16 dicembre 2011 con l’intervento dei Magistrati:</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proofErr w:type="spellStart"/>
      <w:r w:rsidRPr="00FC162C">
        <w:rPr>
          <w:rFonts w:ascii="Times New Roman" w:eastAsia="Times New Roman" w:hAnsi="Times New Roman" w:cs="Times New Roman"/>
          <w:sz w:val="24"/>
          <w:szCs w:val="24"/>
          <w:lang w:eastAsia="it-IT"/>
        </w:rPr>
        <w:t>Evasio</w:t>
      </w:r>
      <w:proofErr w:type="spellEnd"/>
      <w:r w:rsidRPr="00FC162C">
        <w:rPr>
          <w:rFonts w:ascii="Times New Roman" w:eastAsia="Times New Roman" w:hAnsi="Times New Roman" w:cs="Times New Roman"/>
          <w:sz w:val="24"/>
          <w:szCs w:val="24"/>
          <w:lang w:eastAsia="it-IT"/>
        </w:rPr>
        <w:t xml:space="preserve"> Speranza, Presidente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Paolo </w:t>
      </w:r>
      <w:proofErr w:type="spellStart"/>
      <w:r w:rsidRPr="00FC162C">
        <w:rPr>
          <w:rFonts w:ascii="Times New Roman" w:eastAsia="Times New Roman" w:hAnsi="Times New Roman" w:cs="Times New Roman"/>
          <w:sz w:val="24"/>
          <w:szCs w:val="24"/>
          <w:lang w:eastAsia="it-IT"/>
        </w:rPr>
        <w:t>Restaino</w:t>
      </w:r>
      <w:proofErr w:type="spellEnd"/>
      <w:r w:rsidRPr="00FC162C">
        <w:rPr>
          <w:rFonts w:ascii="Times New Roman" w:eastAsia="Times New Roman" w:hAnsi="Times New Roman" w:cs="Times New Roman"/>
          <w:sz w:val="24"/>
          <w:szCs w:val="24"/>
          <w:lang w:eastAsia="it-IT"/>
        </w:rPr>
        <w:t>, Consigliere, Estensore</w:t>
      </w:r>
    </w:p>
    <w:p w:rsidR="00FC162C" w:rsidRPr="00FC162C" w:rsidRDefault="00FC162C" w:rsidP="00FC162C">
      <w:pPr>
        <w:spacing w:before="100" w:beforeAutospacing="1" w:after="100" w:afterAutospacing="1"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xml:space="preserve">Francesco </w:t>
      </w:r>
      <w:proofErr w:type="spellStart"/>
      <w:r w:rsidRPr="00FC162C">
        <w:rPr>
          <w:rFonts w:ascii="Times New Roman" w:eastAsia="Times New Roman" w:hAnsi="Times New Roman" w:cs="Times New Roman"/>
          <w:sz w:val="24"/>
          <w:szCs w:val="24"/>
          <w:lang w:eastAsia="it-IT"/>
        </w:rPr>
        <w:t>Brandileone</w:t>
      </w:r>
      <w:proofErr w:type="spellEnd"/>
      <w:r w:rsidRPr="00FC162C">
        <w:rPr>
          <w:rFonts w:ascii="Times New Roman" w:eastAsia="Times New Roman" w:hAnsi="Times New Roman" w:cs="Times New Roman"/>
          <w:sz w:val="24"/>
          <w:szCs w:val="24"/>
          <w:lang w:eastAsia="it-IT"/>
        </w:rPr>
        <w:t>, Consigliere</w:t>
      </w:r>
    </w:p>
    <w:tbl>
      <w:tblPr>
        <w:tblW w:w="5000" w:type="pct"/>
        <w:tblCellMar>
          <w:top w:w="15" w:type="dxa"/>
          <w:left w:w="15" w:type="dxa"/>
          <w:bottom w:w="15" w:type="dxa"/>
          <w:right w:w="15" w:type="dxa"/>
        </w:tblCellMar>
        <w:tblLook w:val="04A0"/>
      </w:tblPr>
      <w:tblGrid>
        <w:gridCol w:w="4168"/>
        <w:gridCol w:w="95"/>
        <w:gridCol w:w="4793"/>
      </w:tblGrid>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L'ESTENSORE</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 xml:space="preserve"> </w:t>
            </w:r>
            <w:r w:rsidRPr="00FC162C">
              <w:rPr>
                <w:rFonts w:ascii="Times New Roman" w:eastAsia="Times New Roman" w:hAnsi="Times New Roman" w:cs="Times New Roman"/>
                <w:sz w:val="24"/>
                <w:szCs w:val="24"/>
                <w:lang w:eastAsia="it-IT"/>
              </w:rPr>
              <w:t>IL PRESIDENTE</w:t>
            </w: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 </w:t>
            </w: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r w:rsidR="00FC162C" w:rsidRPr="00FC162C" w:rsidTr="00FC162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c>
          <w:tcPr>
            <w:tcW w:w="0" w:type="auto"/>
            <w:vAlign w:val="center"/>
            <w:hideMark/>
          </w:tcPr>
          <w:p w:rsidR="00FC162C" w:rsidRPr="00FC162C" w:rsidRDefault="00FC162C" w:rsidP="00FC162C">
            <w:pPr>
              <w:spacing w:after="0" w:line="240" w:lineRule="auto"/>
              <w:rPr>
                <w:rFonts w:ascii="Times New Roman" w:eastAsia="Times New Roman" w:hAnsi="Times New Roman" w:cs="Times New Roman"/>
                <w:sz w:val="24"/>
                <w:szCs w:val="24"/>
                <w:lang w:eastAsia="it-IT"/>
              </w:rPr>
            </w:pPr>
          </w:p>
        </w:tc>
      </w:tr>
    </w:tbl>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DEPOSITATA IN SEGRETERIA</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Il 07/11/2012</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FC162C">
        <w:rPr>
          <w:rFonts w:ascii="Times New Roman" w:eastAsia="Times New Roman" w:hAnsi="Times New Roman" w:cs="Times New Roman"/>
          <w:sz w:val="24"/>
          <w:szCs w:val="24"/>
          <w:lang w:eastAsia="it-IT"/>
        </w:rPr>
        <w:t>IL SEGRETARIO</w:t>
      </w:r>
    </w:p>
    <w:p w:rsidR="00FC162C" w:rsidRPr="00FC162C" w:rsidRDefault="00FC162C" w:rsidP="00FC162C">
      <w:pPr>
        <w:spacing w:before="100" w:beforeAutospacing="1" w:after="100" w:afterAutospacing="1" w:line="240" w:lineRule="auto"/>
        <w:jc w:val="center"/>
        <w:rPr>
          <w:rFonts w:ascii="Times New Roman" w:eastAsia="Times New Roman" w:hAnsi="Times New Roman" w:cs="Times New Roman"/>
          <w:sz w:val="24"/>
          <w:szCs w:val="24"/>
          <w:lang w:val="en-US" w:eastAsia="it-IT"/>
        </w:rPr>
      </w:pPr>
      <w:r w:rsidRPr="00FC162C">
        <w:rPr>
          <w:rFonts w:ascii="Times New Roman" w:eastAsia="Times New Roman" w:hAnsi="Times New Roman" w:cs="Times New Roman"/>
          <w:sz w:val="24"/>
          <w:szCs w:val="24"/>
          <w:lang w:val="en-US" w:eastAsia="it-IT"/>
        </w:rPr>
        <w:t xml:space="preserve">(Art. 89, co. 3, cod. proc. </w:t>
      </w:r>
      <w:proofErr w:type="spellStart"/>
      <w:r w:rsidRPr="00FC162C">
        <w:rPr>
          <w:rFonts w:ascii="Times New Roman" w:eastAsia="Times New Roman" w:hAnsi="Times New Roman" w:cs="Times New Roman"/>
          <w:sz w:val="24"/>
          <w:szCs w:val="24"/>
          <w:lang w:val="en-US" w:eastAsia="it-IT"/>
        </w:rPr>
        <w:t>amm</w:t>
      </w:r>
      <w:proofErr w:type="spellEnd"/>
      <w:r w:rsidRPr="00FC162C">
        <w:rPr>
          <w:rFonts w:ascii="Times New Roman" w:eastAsia="Times New Roman" w:hAnsi="Times New Roman" w:cs="Times New Roman"/>
          <w:sz w:val="24"/>
          <w:szCs w:val="24"/>
          <w:lang w:val="en-US" w:eastAsia="it-IT"/>
        </w:rPr>
        <w:t>.)</w:t>
      </w:r>
    </w:p>
    <w:p w:rsidR="001C71D2" w:rsidRPr="00FC162C" w:rsidRDefault="00956340">
      <w:pPr>
        <w:rPr>
          <w:lang w:val="en-US"/>
        </w:rPr>
      </w:pPr>
    </w:p>
    <w:sectPr w:rsidR="001C71D2" w:rsidRPr="00FC162C" w:rsidSect="005F712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rsids>
    <w:rsidRoot w:val="00FC162C"/>
    <w:rsid w:val="00507A3B"/>
    <w:rsid w:val="00595771"/>
    <w:rsid w:val="005F7124"/>
    <w:rsid w:val="00956340"/>
    <w:rsid w:val="00DD368B"/>
    <w:rsid w:val="00FC162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F712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repubblica">
    <w:name w:val="repubblica"/>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nnome">
    <w:name w:val="innome"/>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sezione">
    <w:name w:val="sezione"/>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tabula">
    <w:name w:val="tabula"/>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popolo">
    <w:name w:val="popolo"/>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ontro">
    <w:name w:val="contro"/>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fatto">
    <w:name w:val="fatto"/>
    <w:basedOn w:val="Normale"/>
    <w:rsid w:val="00FC162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FC162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C16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8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2081</Words>
  <Characters>11864</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cp:revision>
  <cp:lastPrinted>2013-01-02T23:08:00Z</cp:lastPrinted>
  <dcterms:created xsi:type="dcterms:W3CDTF">2013-01-02T22:54:00Z</dcterms:created>
  <dcterms:modified xsi:type="dcterms:W3CDTF">2013-01-02T23:18:00Z</dcterms:modified>
</cp:coreProperties>
</file>